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48A9428"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B01A2">
        <w:rPr>
          <w:bCs/>
          <w:noProof w:val="0"/>
          <w:sz w:val="24"/>
          <w:szCs w:val="24"/>
        </w:rPr>
        <w:t>09290</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9844F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11.9.</w:t>
      </w:r>
      <w:r w:rsidR="004E21E3">
        <w:rPr>
          <w:rFonts w:cs="Arial"/>
          <w:b/>
          <w:bCs/>
          <w:sz w:val="24"/>
          <w:lang w:eastAsia="ja-JP"/>
        </w:rPr>
        <w:t>3.</w:t>
      </w:r>
      <w:r w:rsidR="002B01A2">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A467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6E9D" w:rsidRPr="00F96E9D">
        <w:rPr>
          <w:rFonts w:ascii="Arial" w:hAnsi="Arial" w:cs="Arial"/>
          <w:b/>
          <w:bCs/>
          <w:sz w:val="24"/>
        </w:rPr>
        <w:t>Time to say goodbye to bye message in CHO execution</w:t>
      </w:r>
    </w:p>
    <w:p w14:paraId="1F147C23" w14:textId="3A93C6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475B" w:rsidRPr="00F1475B">
        <w:rPr>
          <w:rFonts w:ascii="Arial" w:hAnsi="Arial" w:cs="Arial"/>
          <w:b/>
          <w:bCs/>
          <w:sz w:val="24"/>
        </w:rPr>
        <w:t>NR_Mob_enh</w:t>
      </w:r>
      <w:proofErr w:type="spellEnd"/>
      <w:r w:rsidR="00F1475B" w:rsidRPr="00F1475B">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148969EA" w:rsidR="00365AAF" w:rsidRDefault="00365AAF" w:rsidP="00BB6EDD">
      <w:pPr>
        <w:jc w:val="both"/>
      </w:pPr>
      <w:r>
        <w:t>During RAN2</w:t>
      </w:r>
      <w:r>
        <w:rPr>
          <w:lang w:val="pl-PL"/>
        </w:rPr>
        <w:t xml:space="preserve">#106 the </w:t>
      </w:r>
      <w:r w:rsidRPr="00365AAF">
        <w:t>following agreement</w:t>
      </w:r>
      <w:r w:rsidR="00B61B92">
        <w:t xml:space="preserve"> </w:t>
      </w:r>
      <w:r w:rsidR="00B61B92">
        <w:fldChar w:fldCharType="begin"/>
      </w:r>
      <w:r w:rsidR="00B61B92">
        <w:instrText xml:space="preserve"> REF _Ref12434618 \r \h </w:instrText>
      </w:r>
      <w:r w:rsidR="00BB6EDD">
        <w:instrText xml:space="preserve"> \* MERGEFORMAT </w:instrText>
      </w:r>
      <w:r w:rsidR="00B61B92">
        <w:fldChar w:fldCharType="separate"/>
      </w:r>
      <w:r w:rsidR="00B61B92">
        <w:t>[1]</w:t>
      </w:r>
      <w:r w:rsidR="00B61B92">
        <w:fldChar w:fldCharType="end"/>
      </w:r>
      <w:r>
        <w:t xml:space="preserve"> </w:t>
      </w:r>
      <w:r w:rsidR="00DA17F2">
        <w:t xml:space="preserve">has been taken, </w:t>
      </w:r>
      <w:r>
        <w:t>concerning UE’s behaviour when CHO execution condition is met:</w:t>
      </w:r>
    </w:p>
    <w:tbl>
      <w:tblPr>
        <w:tblStyle w:val="TableGrid"/>
        <w:tblW w:w="0" w:type="auto"/>
        <w:tblLook w:val="04A0" w:firstRow="1" w:lastRow="0" w:firstColumn="1" w:lastColumn="0" w:noHBand="0" w:noVBand="1"/>
      </w:tblPr>
      <w:tblGrid>
        <w:gridCol w:w="9631"/>
      </w:tblGrid>
      <w:tr w:rsidR="00B61B92" w14:paraId="12D8DEB5" w14:textId="77777777" w:rsidTr="00B61B92">
        <w:tc>
          <w:tcPr>
            <w:tcW w:w="9631" w:type="dxa"/>
          </w:tcPr>
          <w:p w14:paraId="36666FB9" w14:textId="5297A2BF" w:rsidR="00B61B92" w:rsidRDefault="00B61B92" w:rsidP="00BB6EDD">
            <w:pPr>
              <w:jc w:val="both"/>
            </w:pPr>
            <w:r>
              <w:t>5</w:t>
            </w:r>
            <w:r>
              <w:tab/>
              <w:t>CHO execution does not trigger measurement report.</w:t>
            </w:r>
          </w:p>
        </w:tc>
      </w:tr>
    </w:tbl>
    <w:p w14:paraId="31EC6E66" w14:textId="74D20550" w:rsidR="007F2E08" w:rsidRPr="006E13D1" w:rsidRDefault="00B61B92" w:rsidP="00BB6EDD">
      <w:pPr>
        <w:jc w:val="both"/>
      </w:pPr>
      <w:r>
        <w:br/>
        <w:t xml:space="preserve">In this brief </w:t>
      </w:r>
      <w:proofErr w:type="spellStart"/>
      <w:r>
        <w:t>TDoc</w:t>
      </w:r>
      <w:proofErr w:type="spellEnd"/>
      <w:r>
        <w:t xml:space="preserve"> we would like to outline the consequences of such decision.</w:t>
      </w:r>
    </w:p>
    <w:p w14:paraId="2BBFF540" w14:textId="7D885B87" w:rsidR="00A209D6" w:rsidRPr="006E13D1" w:rsidRDefault="00A209D6" w:rsidP="00A209D6">
      <w:pPr>
        <w:pStyle w:val="Heading1"/>
      </w:pPr>
      <w:r w:rsidRPr="006E13D1">
        <w:t>2</w:t>
      </w:r>
      <w:r w:rsidRPr="006E13D1">
        <w:tab/>
      </w:r>
      <w:r w:rsidR="00B61B92">
        <w:t>Discussion</w:t>
      </w:r>
    </w:p>
    <w:p w14:paraId="10F95634" w14:textId="3E8235F7" w:rsidR="00FF2184" w:rsidRDefault="00F81093" w:rsidP="00BB6EDD">
      <w:pPr>
        <w:jc w:val="both"/>
      </w:pPr>
      <w:r>
        <w:t>T</w:t>
      </w:r>
      <w:r w:rsidR="00FF2184">
        <w:t xml:space="preserve">his </w:t>
      </w:r>
      <w:r>
        <w:t xml:space="preserve">may have </w:t>
      </w:r>
      <w:r w:rsidR="00FF2184">
        <w:t xml:space="preserve">not been evident to all companies involved in related discussion, but the agreement quoted above is </w:t>
      </w:r>
      <w:proofErr w:type="gramStart"/>
      <w:r w:rsidR="00FF2184">
        <w:t>actually equivalent</w:t>
      </w:r>
      <w:proofErr w:type="gramEnd"/>
      <w:r w:rsidR="00FF2184">
        <w:t xml:space="preserve"> to</w:t>
      </w:r>
      <w:r>
        <w:t>:</w:t>
      </w:r>
      <w:r w:rsidR="00FF2184">
        <w:t xml:space="preserve"> “No bye message to the source cell when CHO execution occurs”</w:t>
      </w:r>
      <w:r w:rsidR="00AD453E">
        <w:t xml:space="preserve">. Measurement </w:t>
      </w:r>
      <w:r>
        <w:t>R</w:t>
      </w:r>
      <w:r w:rsidR="00AD453E">
        <w:t>eport</w:t>
      </w:r>
      <w:r>
        <w:t xml:space="preserve"> (MR)</w:t>
      </w:r>
      <w:r w:rsidR="00AD453E">
        <w:t xml:space="preserve"> triggered by CHO execution can be interpreted in such a way. Thus, by deciding not to have such reporting, RAN2 has excluded “bye message” as a part of CHO scheme. </w:t>
      </w:r>
    </w:p>
    <w:p w14:paraId="1826F199" w14:textId="2DD18552" w:rsidR="00AD453E" w:rsidRPr="00AD453E" w:rsidRDefault="00AD453E" w:rsidP="00BB6EDD">
      <w:pPr>
        <w:jc w:val="both"/>
        <w:rPr>
          <w:b/>
        </w:rPr>
      </w:pPr>
      <w:r w:rsidRPr="00AD453E">
        <w:rPr>
          <w:b/>
        </w:rPr>
        <w:t>Observation 1: As CHO execution does not trigger measurement reporting, “bye message” is not supported for CHO.</w:t>
      </w:r>
    </w:p>
    <w:p w14:paraId="4F547731" w14:textId="02D23780" w:rsidR="00A209D6" w:rsidRDefault="001A2F48" w:rsidP="00BB6EDD">
      <w:pPr>
        <w:jc w:val="both"/>
      </w:pPr>
      <w:r>
        <w:t xml:space="preserve">Pros and cons of bye message have been widely discussed in numerous RAN2 </w:t>
      </w:r>
      <w:proofErr w:type="spellStart"/>
      <w:r>
        <w:t>TDocs</w:t>
      </w:r>
      <w:proofErr w:type="spellEnd"/>
      <w:r>
        <w:t>. O</w:t>
      </w:r>
      <w:r w:rsidR="00F81093">
        <w:t>ne of our</w:t>
      </w:r>
      <w:r>
        <w:t xml:space="preserve"> previous paper</w:t>
      </w:r>
      <w:r w:rsidR="00F81093">
        <w:t>s</w:t>
      </w:r>
      <w:r>
        <w:t xml:space="preserve"> </w:t>
      </w:r>
      <w:r>
        <w:fldChar w:fldCharType="begin"/>
      </w:r>
      <w:r>
        <w:instrText xml:space="preserve"> REF _Ref12435554 \r \h </w:instrText>
      </w:r>
      <w:r w:rsidR="00BB6EDD">
        <w:instrText xml:space="preserve"> \* MERGEFORMAT </w:instrText>
      </w:r>
      <w:r>
        <w:fldChar w:fldCharType="separate"/>
      </w:r>
      <w:r>
        <w:t>[2]</w:t>
      </w:r>
      <w:r>
        <w:fldChar w:fldCharType="end"/>
      </w:r>
      <w:r>
        <w:t xml:space="preserve"> </w:t>
      </w:r>
      <w:r w:rsidR="00F81093">
        <w:t xml:space="preserve">has </w:t>
      </w:r>
      <w:r>
        <w:t>also devoted a short section to this topic</w:t>
      </w:r>
      <w:r w:rsidR="005A4E31">
        <w:t xml:space="preserve">. Among the others, we have outlined </w:t>
      </w:r>
      <w:r w:rsidR="00F81093">
        <w:t>“</w:t>
      </w:r>
      <w:r w:rsidR="005A4E31">
        <w:t>bye message</w:t>
      </w:r>
      <w:r w:rsidR="00F81093">
        <w:t>”</w:t>
      </w:r>
      <w:r w:rsidR="005A4E31" w:rsidRPr="005A4E31">
        <w:t xml:space="preserve"> may help the source cell, e.g. to start data forwarding at the right point in time, or to stop the transmission to the UE. On the other hand, such “bye message</w:t>
      </w:r>
      <w:r w:rsidR="00F81093">
        <w:t>”</w:t>
      </w:r>
      <w:r w:rsidR="005A4E31" w:rsidRPr="005A4E31">
        <w:t xml:space="preserve"> will have a significant probability of failed reception, since it </w:t>
      </w:r>
      <w:r w:rsidR="00F81093">
        <w:t>may be</w:t>
      </w:r>
      <w:r w:rsidR="005A4E31" w:rsidRPr="005A4E31">
        <w:t xml:space="preserve"> done when the UE is already safely inside the target cell</w:t>
      </w:r>
      <w:r w:rsidR="005A4E31">
        <w:t>. Thus, we feel there is much more risk</w:t>
      </w:r>
      <w:r w:rsidR="00F81093">
        <w:t xml:space="preserve"> linked to this</w:t>
      </w:r>
      <w:r w:rsidR="005A4E31">
        <w:t xml:space="preserve"> solution than possible gains (which can be </w:t>
      </w:r>
      <w:r w:rsidR="00F81093">
        <w:t xml:space="preserve">also </w:t>
      </w:r>
      <w:r w:rsidR="005A4E31">
        <w:t>achieved via other means). As a result, we propose the following:</w:t>
      </w:r>
    </w:p>
    <w:p w14:paraId="212D9BB8" w14:textId="44B112A4" w:rsidR="005A4E31" w:rsidRDefault="00BB6EDD" w:rsidP="00BB6EDD">
      <w:pPr>
        <w:jc w:val="both"/>
        <w:rPr>
          <w:b/>
        </w:rPr>
      </w:pPr>
      <w:r w:rsidRPr="00BB6EDD">
        <w:rPr>
          <w:b/>
        </w:rPr>
        <w:t>Proposal 1: RAN2 is asked to confirm explicitly that “CHO execution does not trigger measurement report” means “bye message is not supported for CHO”.</w:t>
      </w:r>
    </w:p>
    <w:p w14:paraId="582508F3" w14:textId="43A1D840" w:rsidR="00123A5C" w:rsidRPr="00BB6EDD" w:rsidRDefault="00123A5C" w:rsidP="00BB6EDD">
      <w:pPr>
        <w:jc w:val="both"/>
        <w:rPr>
          <w:b/>
        </w:rPr>
      </w:pPr>
      <w:r>
        <w:rPr>
          <w:b/>
        </w:rPr>
        <w:t xml:space="preserve">Proposal 2: Proposal 1 is applicable to </w:t>
      </w:r>
      <w:r w:rsidR="00F81093">
        <w:rPr>
          <w:b/>
        </w:rPr>
        <w:t xml:space="preserve">CHO in </w:t>
      </w:r>
      <w:r>
        <w:rPr>
          <w:b/>
        </w:rPr>
        <w:t>both E-UTRAN and NR.</w:t>
      </w:r>
    </w:p>
    <w:p w14:paraId="5FF2457F" w14:textId="30F24FD2" w:rsidR="00A209D6" w:rsidRPr="006E13D1" w:rsidRDefault="00924277" w:rsidP="00A209D6">
      <w:pPr>
        <w:pStyle w:val="Heading1"/>
      </w:pPr>
      <w:r>
        <w:t>3</w:t>
      </w:r>
      <w:r w:rsidR="00A209D6" w:rsidRPr="006E13D1">
        <w:tab/>
      </w:r>
      <w:r w:rsidR="008C3057">
        <w:t>Conclusion</w:t>
      </w:r>
    </w:p>
    <w:p w14:paraId="6C60FFDC" w14:textId="7123D03A" w:rsidR="00A209D6" w:rsidRDefault="00924277" w:rsidP="00BB6EDD">
      <w:pPr>
        <w:jc w:val="both"/>
      </w:pPr>
      <w:r>
        <w:t xml:space="preserve">This paper elaborated on the need for </w:t>
      </w:r>
      <w:r w:rsidR="001A2F48">
        <w:t>bye message in the Conditional Handover scheme</w:t>
      </w:r>
      <w:r>
        <w:t>. The following observations and proposals have been made:</w:t>
      </w:r>
    </w:p>
    <w:p w14:paraId="1226ED92" w14:textId="77777777" w:rsidR="00BB6EDD" w:rsidRPr="00AD453E" w:rsidRDefault="00BB6EDD" w:rsidP="00BB6EDD">
      <w:pPr>
        <w:jc w:val="both"/>
        <w:rPr>
          <w:b/>
        </w:rPr>
      </w:pPr>
      <w:r w:rsidRPr="00AD453E">
        <w:rPr>
          <w:b/>
        </w:rPr>
        <w:t>Observation 1: As CHO execution does not trigger measurement reporting, “bye message” is not supported for CHO.</w:t>
      </w:r>
    </w:p>
    <w:p w14:paraId="60449C3F" w14:textId="544734FD" w:rsidR="00A209D6" w:rsidRDefault="00BB6EDD" w:rsidP="00BB6EDD">
      <w:pPr>
        <w:jc w:val="both"/>
        <w:rPr>
          <w:b/>
        </w:rPr>
      </w:pPr>
      <w:r w:rsidRPr="00BB6EDD">
        <w:rPr>
          <w:b/>
        </w:rPr>
        <w:t>Proposal 1: RAN2 is asked to confirm explicitly that “CHO execution does not trigger measurement report” means “bye message is not supported for CHO”.</w:t>
      </w:r>
    </w:p>
    <w:p w14:paraId="4AC8C053" w14:textId="2F879EEA" w:rsidR="00123A5C" w:rsidRPr="00BB6EDD" w:rsidRDefault="00123A5C" w:rsidP="00BB6EDD">
      <w:pPr>
        <w:jc w:val="both"/>
        <w:rPr>
          <w:b/>
        </w:rPr>
      </w:pPr>
      <w:r>
        <w:rPr>
          <w:b/>
        </w:rPr>
        <w:t xml:space="preserve">Proposal 2: Proposal 1 is applicable to </w:t>
      </w:r>
      <w:r w:rsidR="00F81093">
        <w:rPr>
          <w:b/>
        </w:rPr>
        <w:t xml:space="preserve">CHO in </w:t>
      </w:r>
      <w:r>
        <w:rPr>
          <w:b/>
        </w:rPr>
        <w:t>both E-UTRAN and NR.</w:t>
      </w:r>
    </w:p>
    <w:p w14:paraId="432B0A82" w14:textId="476EBFC8" w:rsidR="00A209D6" w:rsidRDefault="00B61B92" w:rsidP="00B61B92">
      <w:pPr>
        <w:pStyle w:val="Heading1"/>
      </w:pPr>
      <w:r>
        <w:lastRenderedPageBreak/>
        <w:t>References</w:t>
      </w:r>
    </w:p>
    <w:p w14:paraId="31F1850F" w14:textId="7E2976D3" w:rsidR="002A5627" w:rsidRDefault="00B61B92" w:rsidP="00EB1D67">
      <w:pPr>
        <w:pStyle w:val="ListParagraph"/>
        <w:numPr>
          <w:ilvl w:val="0"/>
          <w:numId w:val="8"/>
        </w:numPr>
      </w:pPr>
      <w:bookmarkStart w:id="1" w:name="_Ref12434618"/>
      <w:r w:rsidRPr="00B61B92">
        <w:t>R2-1908108</w:t>
      </w:r>
      <w:r>
        <w:t xml:space="preserve"> </w:t>
      </w:r>
      <w:r w:rsidRPr="00B61B92">
        <w:rPr>
          <w:i/>
        </w:rPr>
        <w:t>Report from session on Rel-16 LTE Mobility Enhancements WI</w:t>
      </w:r>
      <w:r>
        <w:t xml:space="preserve"> 3GPP TSG-RAN WG2 Meeting #106, Reno, USA, 13th – 17th of May 2019</w:t>
      </w:r>
      <w:bookmarkEnd w:id="1"/>
    </w:p>
    <w:p w14:paraId="17C0693A" w14:textId="47CC3366" w:rsidR="00EB1D67" w:rsidRPr="00B61B92" w:rsidRDefault="00EB1D67" w:rsidP="00EB1D67">
      <w:pPr>
        <w:pStyle w:val="ListParagraph"/>
        <w:numPr>
          <w:ilvl w:val="0"/>
          <w:numId w:val="8"/>
        </w:numPr>
      </w:pPr>
      <w:bookmarkStart w:id="2" w:name="_Ref12435554"/>
      <w:r w:rsidRPr="00EB1D67">
        <w:t>R2-1907276</w:t>
      </w:r>
      <w:r>
        <w:t xml:space="preserve"> </w:t>
      </w:r>
      <w:r w:rsidRPr="00EB1D67">
        <w:rPr>
          <w:i/>
        </w:rPr>
        <w:t>Conditional Handover in E-UTRAN – other aspects</w:t>
      </w:r>
      <w:r>
        <w:t xml:space="preserve"> </w:t>
      </w:r>
      <w:r w:rsidRPr="00EB1D67">
        <w:t>3GPP TSG-RAN WG2 Meeting #106, Reno, USA, 13th – 17th of May 2019</w:t>
      </w:r>
      <w:bookmarkEnd w:id="2"/>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9043" w14:textId="77777777" w:rsidR="00726FB0" w:rsidRDefault="00726FB0">
      <w:r>
        <w:separator/>
      </w:r>
    </w:p>
  </w:endnote>
  <w:endnote w:type="continuationSeparator" w:id="0">
    <w:p w14:paraId="41349D7D" w14:textId="77777777" w:rsidR="00726FB0" w:rsidRDefault="0072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4A799" w14:textId="77777777" w:rsidR="00726FB0" w:rsidRDefault="00726FB0">
      <w:r>
        <w:separator/>
      </w:r>
    </w:p>
  </w:footnote>
  <w:footnote w:type="continuationSeparator" w:id="0">
    <w:p w14:paraId="4BA8414C" w14:textId="77777777" w:rsidR="00726FB0" w:rsidRDefault="0072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23A5C"/>
    <w:rsid w:val="00145075"/>
    <w:rsid w:val="001741A0"/>
    <w:rsid w:val="00175FA0"/>
    <w:rsid w:val="00194CD0"/>
    <w:rsid w:val="001A2F48"/>
    <w:rsid w:val="001B49C9"/>
    <w:rsid w:val="001C23F4"/>
    <w:rsid w:val="001C4F79"/>
    <w:rsid w:val="001F168B"/>
    <w:rsid w:val="001F7831"/>
    <w:rsid w:val="00204045"/>
    <w:rsid w:val="0020712B"/>
    <w:rsid w:val="002137BA"/>
    <w:rsid w:val="0022606D"/>
    <w:rsid w:val="00231728"/>
    <w:rsid w:val="00250404"/>
    <w:rsid w:val="002610D8"/>
    <w:rsid w:val="002747EC"/>
    <w:rsid w:val="002855BF"/>
    <w:rsid w:val="002A5627"/>
    <w:rsid w:val="002B01A2"/>
    <w:rsid w:val="002B6923"/>
    <w:rsid w:val="002F0D22"/>
    <w:rsid w:val="003172DC"/>
    <w:rsid w:val="00325AE3"/>
    <w:rsid w:val="00326069"/>
    <w:rsid w:val="0035462D"/>
    <w:rsid w:val="00364B41"/>
    <w:rsid w:val="00365AAF"/>
    <w:rsid w:val="00383096"/>
    <w:rsid w:val="003A41EF"/>
    <w:rsid w:val="003B40AD"/>
    <w:rsid w:val="003C4E37"/>
    <w:rsid w:val="003E16BE"/>
    <w:rsid w:val="003F0C8F"/>
    <w:rsid w:val="003F4E28"/>
    <w:rsid w:val="004006E8"/>
    <w:rsid w:val="00401855"/>
    <w:rsid w:val="00465587"/>
    <w:rsid w:val="00477455"/>
    <w:rsid w:val="004A1F7B"/>
    <w:rsid w:val="004C44D2"/>
    <w:rsid w:val="004D3578"/>
    <w:rsid w:val="004D380D"/>
    <w:rsid w:val="004E213A"/>
    <w:rsid w:val="004E21E3"/>
    <w:rsid w:val="00503171"/>
    <w:rsid w:val="00506C28"/>
    <w:rsid w:val="00534DA0"/>
    <w:rsid w:val="00543E6C"/>
    <w:rsid w:val="00565087"/>
    <w:rsid w:val="0056573F"/>
    <w:rsid w:val="005A4E31"/>
    <w:rsid w:val="00611566"/>
    <w:rsid w:val="00646D99"/>
    <w:rsid w:val="00656910"/>
    <w:rsid w:val="006C66D8"/>
    <w:rsid w:val="006D1E24"/>
    <w:rsid w:val="006E1417"/>
    <w:rsid w:val="006F6A2C"/>
    <w:rsid w:val="007069DC"/>
    <w:rsid w:val="00710201"/>
    <w:rsid w:val="0072073A"/>
    <w:rsid w:val="00726FB0"/>
    <w:rsid w:val="007342B5"/>
    <w:rsid w:val="00734A5B"/>
    <w:rsid w:val="00744E76"/>
    <w:rsid w:val="00757D40"/>
    <w:rsid w:val="00781F0F"/>
    <w:rsid w:val="0078727C"/>
    <w:rsid w:val="0079049D"/>
    <w:rsid w:val="00793DC5"/>
    <w:rsid w:val="007B18D8"/>
    <w:rsid w:val="007C095F"/>
    <w:rsid w:val="007C2DD0"/>
    <w:rsid w:val="007F2E08"/>
    <w:rsid w:val="008028A4"/>
    <w:rsid w:val="00813245"/>
    <w:rsid w:val="00822CE9"/>
    <w:rsid w:val="0086354A"/>
    <w:rsid w:val="008768CA"/>
    <w:rsid w:val="00877EF9"/>
    <w:rsid w:val="00880559"/>
    <w:rsid w:val="008B5306"/>
    <w:rsid w:val="008C3057"/>
    <w:rsid w:val="008D2E4D"/>
    <w:rsid w:val="008F396F"/>
    <w:rsid w:val="0090271F"/>
    <w:rsid w:val="00902DB9"/>
    <w:rsid w:val="0090466A"/>
    <w:rsid w:val="00923655"/>
    <w:rsid w:val="00924277"/>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AD453E"/>
    <w:rsid w:val="00B05380"/>
    <w:rsid w:val="00B05962"/>
    <w:rsid w:val="00B15449"/>
    <w:rsid w:val="00B16C2F"/>
    <w:rsid w:val="00B27303"/>
    <w:rsid w:val="00B47FD1"/>
    <w:rsid w:val="00B516BB"/>
    <w:rsid w:val="00B61B92"/>
    <w:rsid w:val="00B84DB2"/>
    <w:rsid w:val="00BB6EDD"/>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17F2"/>
    <w:rsid w:val="00DA7A03"/>
    <w:rsid w:val="00DB0DB8"/>
    <w:rsid w:val="00DB1818"/>
    <w:rsid w:val="00DC309B"/>
    <w:rsid w:val="00DC4DA2"/>
    <w:rsid w:val="00DC5261"/>
    <w:rsid w:val="00DE25D2"/>
    <w:rsid w:val="00E46C08"/>
    <w:rsid w:val="00E471CF"/>
    <w:rsid w:val="00E62835"/>
    <w:rsid w:val="00E77645"/>
    <w:rsid w:val="00E83697"/>
    <w:rsid w:val="00EA66C9"/>
    <w:rsid w:val="00EB1D67"/>
    <w:rsid w:val="00EC4A25"/>
    <w:rsid w:val="00F025A2"/>
    <w:rsid w:val="00F036E9"/>
    <w:rsid w:val="00F07388"/>
    <w:rsid w:val="00F1475B"/>
    <w:rsid w:val="00F2026E"/>
    <w:rsid w:val="00F2210A"/>
    <w:rsid w:val="00F37743"/>
    <w:rsid w:val="00F54A3D"/>
    <w:rsid w:val="00F54CB0"/>
    <w:rsid w:val="00F579CD"/>
    <w:rsid w:val="00F653B8"/>
    <w:rsid w:val="00F71B89"/>
    <w:rsid w:val="00F7353C"/>
    <w:rsid w:val="00F76F8F"/>
    <w:rsid w:val="00F81093"/>
    <w:rsid w:val="00F941DF"/>
    <w:rsid w:val="00F96E9D"/>
    <w:rsid w:val="00FA1266"/>
    <w:rsid w:val="00FB36FA"/>
    <w:rsid w:val="00FC1192"/>
    <w:rsid w:val="00FE251B"/>
    <w:rsid w:val="00FF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8301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5AIRPNAIUNRU-859666464-5223</_dlc_DocId>
    <_dlc_DocIdUrl xmlns="71c5aaf6-e6ce-465b-b873-5148d2a4c105">
      <Url>https://nokia.sharepoint.com/sites/c5g/e2earch/_layouts/15/DocIdRedir.aspx?ID=5AIRPNAIUNRU-859666464-5223</Url>
      <Description>5AIRPNAIUNRU-859666464-5223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102</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72</cp:revision>
  <dcterms:created xsi:type="dcterms:W3CDTF">2016-08-12T03:53:00Z</dcterms:created>
  <dcterms:modified xsi:type="dcterms:W3CDTF">2019-08-15T19:03:00Z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54f19d37-b166-46db-81f0-69d3692b16d0</vt:lpwstr>
  </property>
</Properties>
</file>